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55951"/>
            <wp:effectExtent l="19050" t="0" r="3175" b="0"/>
            <wp:docPr id="1" name="Рисунок 1" descr="F:\Рабочий стол\сайт срочно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срочно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72D79"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72D79"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  <w:t xml:space="preserve">к учебному плану МБ ДОУ № 24 </w:t>
      </w: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en-US"/>
        </w:rPr>
        <w:t>на 2017-2018 учебный год</w:t>
      </w:r>
    </w:p>
    <w:p w:rsidR="00E72D79" w:rsidRPr="00E72D79" w:rsidRDefault="00E72D79" w:rsidP="00E72D79">
      <w:pPr>
        <w:suppressAutoHyphens/>
        <w:spacing w:before="100" w:after="10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79">
        <w:rPr>
          <w:rFonts w:ascii="Times New Roman" w:eastAsia="Times New Roman" w:hAnsi="Times New Roman" w:cs="Times New Roman"/>
          <w:sz w:val="24"/>
          <w:szCs w:val="24"/>
        </w:rPr>
        <w:t>Учебный план МБДОУ № 24 разработан в соответствии с:</w:t>
      </w:r>
    </w:p>
    <w:p w:rsidR="00E72D79" w:rsidRPr="00E72D79" w:rsidRDefault="00E72D79" w:rsidP="00E72D79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79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29.12.2012 г №273-ФЗ«Об образовании в Российской Федерации».</w:t>
      </w:r>
    </w:p>
    <w:p w:rsidR="00E72D79" w:rsidRPr="00E72D79" w:rsidRDefault="00E72D79" w:rsidP="00E72D79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79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приказом </w:t>
      </w:r>
      <w:proofErr w:type="spellStart"/>
      <w:r w:rsidRPr="00E72D7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72D79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1155.</w:t>
      </w:r>
    </w:p>
    <w:p w:rsidR="00E72D79" w:rsidRPr="00E72D79" w:rsidRDefault="00E72D79" w:rsidP="00E72D79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79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 требованиям к устройству, содержанию и организации режима работы дошкольных образовательных организаций. </w:t>
      </w:r>
      <w:proofErr w:type="spellStart"/>
      <w:r w:rsidRPr="00E72D7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72D79">
        <w:rPr>
          <w:rFonts w:ascii="Times New Roman" w:eastAsia="Times New Roman" w:hAnsi="Times New Roman" w:cs="Times New Roman"/>
          <w:sz w:val="24"/>
          <w:szCs w:val="24"/>
        </w:rPr>
        <w:t xml:space="preserve"> 2.4.1.3049-13, утвержденным постановлением Главного государственного врача РФ от 15.02.2013г.</w:t>
      </w:r>
    </w:p>
    <w:p w:rsidR="00E72D79" w:rsidRPr="00E72D79" w:rsidRDefault="00E72D79" w:rsidP="00E72D79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79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72D7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72D79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 и осуществления  образовательной  деятельности по основным общеобразовательным программам - образовательным программам дошкольного образования».</w:t>
      </w:r>
    </w:p>
    <w:p w:rsidR="00E72D79" w:rsidRPr="00E72D79" w:rsidRDefault="00E72D79" w:rsidP="00E72D79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79">
        <w:rPr>
          <w:rFonts w:ascii="Times New Roman" w:eastAsia="Times New Roman" w:hAnsi="Times New Roman" w:cs="Times New Roman"/>
          <w:sz w:val="24"/>
          <w:szCs w:val="24"/>
        </w:rPr>
        <w:t>Уставом МБ ДОУ № 24.</w:t>
      </w:r>
    </w:p>
    <w:p w:rsidR="00E72D79" w:rsidRPr="00E72D79" w:rsidRDefault="00E72D79" w:rsidP="00E72D79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79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 Серия 61Л01 № 3989 от 31 июля 2014 года.</w:t>
      </w:r>
    </w:p>
    <w:p w:rsidR="00E72D79" w:rsidRPr="00E72D79" w:rsidRDefault="00E72D79" w:rsidP="00E72D79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79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дошкольного образования МБ ДОУ № 24.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Данный учебный план составлен для организации деятельности с детьми дошкольного  возраста от 2 до 7 лет.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Учебный план обеспечивается выполнением инвариантного и вариантного общеобразовательного содержания.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 xml:space="preserve">При составлении учебного плана использована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Н.Е.Вераксы</w:t>
      </w:r>
      <w:proofErr w:type="spellEnd"/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, Т.С.Комаровой, М.А.Васильевой.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Для успешной реализации образовательных программ в МБ ДОУ обеспечиваются следующие психолого-педагогические условия: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- 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-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- поддержка педагогом положительного, доброжелательного отношения детей друг к другу и взаимодействия в разных видах деятельности;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- поддержка инициативы и самостоятельности детей в специфических видах деятельности;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- возможность выбора материалов, видов активности, участников совместной деятельности и общения;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>- защита от всех форм физического и психического насилия;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lastRenderedPageBreak/>
        <w:t>- 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en-US"/>
        </w:rPr>
        <w:t xml:space="preserve">Учебный план МБ ДОУ № 24 ориентирован на проведение непосредственной образовательной деятельности </w:t>
      </w:r>
      <w:r w:rsidRPr="00E72D79">
        <w:rPr>
          <w:rFonts w:ascii="Times New Roman" w:eastAsia="DejaVu Sans" w:hAnsi="Times New Roman" w:cs="Times New Roman"/>
          <w:b/>
          <w:bCs/>
          <w:i/>
          <w:color w:val="000000"/>
          <w:sz w:val="24"/>
          <w:szCs w:val="24"/>
          <w:lang w:eastAsia="en-US"/>
        </w:rPr>
        <w:t>в режиме 5-ти дневной рабочей недели.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Общая образовательная нагрузка (количество периодов НОД в неделю) инвариантной части плана по всем направлениям развития в соответствии с федеральными государственными образовательными стандартами (ФГОС) и с учётом работы ДОУ составляет: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в группе раннего возраста- 10 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в 1-й младшей группе- 10 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в 2 –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>й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 младшей группе - 10 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3"/>
          <w:szCs w:val="23"/>
          <w:lang w:eastAsia="en-US"/>
        </w:rPr>
        <w:t xml:space="preserve">в средней группе - 10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Calibri" w:eastAsia="DejaVu Sans" w:hAnsi="Calibri" w:cs="Calibri"/>
          <w:lang w:eastAsia="en-US"/>
        </w:rPr>
      </w:pPr>
      <w:r w:rsidRPr="00E72D79">
        <w:rPr>
          <w:rFonts w:ascii="Times New Roman" w:eastAsia="DejaVu Sans" w:hAnsi="Times New Roman" w:cs="Times New Roman"/>
          <w:sz w:val="24"/>
          <w:szCs w:val="24"/>
          <w:lang w:eastAsia="en-US"/>
        </w:rPr>
        <w:t>в старшей группе -14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Calibri" w:eastAsia="DejaVu Sans" w:hAnsi="Calibri" w:cs="Calibri"/>
          <w:lang w:eastAsia="en-US"/>
        </w:rPr>
      </w:pPr>
      <w:r w:rsidRPr="00E72D79">
        <w:rPr>
          <w:rFonts w:ascii="Times New Roman" w:eastAsia="DejaVu Sans" w:hAnsi="Times New Roman" w:cs="Times New Roman"/>
          <w:sz w:val="24"/>
          <w:szCs w:val="24"/>
          <w:lang w:eastAsia="en-US"/>
        </w:rPr>
        <w:t>в подготовительной к школе группе -15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Образовательный год начинается с 01 сентября 2016 года по 31 мая 2017 года.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В план непосредственно образовательной деятельности включены пять областей, обеспечивающие </w:t>
      </w:r>
      <w:r w:rsidRPr="00E72D79">
        <w:rPr>
          <w:rFonts w:ascii="Times New Roman" w:eastAsia="DejaVu Sans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социально-коммуникативное, познавательное, речевое, художественно-эстетическое и физическое развитие детей.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Каждой образовательной области соответствуют определённые базовые виды деятельности согласно ФГОС.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Базовые виды деятельности: </w:t>
      </w:r>
    </w:p>
    <w:p w:rsidR="00E72D79" w:rsidRPr="00E72D79" w:rsidRDefault="00E72D79" w:rsidP="00E72D7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социализация, развитие общения, нравственное воспитание; </w:t>
      </w:r>
    </w:p>
    <w:p w:rsidR="00E72D79" w:rsidRPr="00E72D79" w:rsidRDefault="00E72D79" w:rsidP="00E72D7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ребёнок в семье и сообществе, патриотическое воспитание; </w:t>
      </w:r>
    </w:p>
    <w:p w:rsidR="00E72D79" w:rsidRPr="00E72D79" w:rsidRDefault="00E72D79" w:rsidP="00E72D7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самообслуживание, самостоятельность, трудовое воспитание; </w:t>
      </w:r>
    </w:p>
    <w:p w:rsidR="00E72D79" w:rsidRPr="00E72D79" w:rsidRDefault="00E72D79" w:rsidP="00E72D7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формирование основ безопасности.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Образовательная область «Познавательное развитие»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Базовые виды деятельности: </w:t>
      </w:r>
    </w:p>
    <w:p w:rsidR="00E72D79" w:rsidRPr="00E72D79" w:rsidRDefault="00E72D79" w:rsidP="00E72D7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познавательно- исследовательской деятельности; </w:t>
      </w:r>
    </w:p>
    <w:p w:rsidR="00E72D79" w:rsidRPr="00E72D79" w:rsidRDefault="00E72D79" w:rsidP="00E72D7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приобщение к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социокультурным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ценностям; </w:t>
      </w:r>
    </w:p>
    <w:p w:rsidR="00E72D79" w:rsidRPr="00E72D79" w:rsidRDefault="00E72D79" w:rsidP="00E72D7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формирование элементарных математических представлений </w:t>
      </w:r>
    </w:p>
    <w:p w:rsidR="00E72D79" w:rsidRPr="00E72D79" w:rsidRDefault="00E72D79" w:rsidP="00E72D7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ознакомление с миром природы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Образовательная область « Речевое развитие» </w:t>
      </w:r>
    </w:p>
    <w:p w:rsidR="00E72D79" w:rsidRPr="00E72D79" w:rsidRDefault="00E72D79" w:rsidP="00E72D7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развитие речи; </w:t>
      </w:r>
    </w:p>
    <w:p w:rsidR="00E72D79" w:rsidRPr="00E72D79" w:rsidRDefault="00E72D79" w:rsidP="00E72D7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художественная литература 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Образовательная область « Художественно- эстетическое развитие»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Calibri" w:eastAsia="DejaVu Sans" w:hAnsi="Calibri" w:cs="Calibri"/>
          <w:lang w:eastAsia="en-US"/>
        </w:rPr>
      </w:pPr>
    </w:p>
    <w:p w:rsidR="00E72D79" w:rsidRPr="00E72D79" w:rsidRDefault="00E72D79" w:rsidP="00E72D79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приобщение к искусству; </w:t>
      </w:r>
    </w:p>
    <w:p w:rsidR="00E72D79" w:rsidRPr="00E72D79" w:rsidRDefault="00E72D79" w:rsidP="00E72D79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изобразительная деятельность; </w:t>
      </w:r>
    </w:p>
    <w:p w:rsidR="00E72D79" w:rsidRPr="00E72D79" w:rsidRDefault="00E72D79" w:rsidP="00E72D79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конструктивно- модельная деятельность; </w:t>
      </w:r>
    </w:p>
    <w:p w:rsidR="00E72D79" w:rsidRPr="00E72D79" w:rsidRDefault="00E72D79" w:rsidP="00E72D79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музыкально- художественная деятельность </w:t>
      </w: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Образовательная область « Физическое развитие» </w:t>
      </w:r>
    </w:p>
    <w:p w:rsidR="00E72D79" w:rsidRPr="00E72D79" w:rsidRDefault="00E72D79" w:rsidP="00E72D79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формирование начальных представлений о здоровом образе жизни; </w:t>
      </w:r>
    </w:p>
    <w:p w:rsidR="00E72D79" w:rsidRPr="00E72D79" w:rsidRDefault="00E72D79" w:rsidP="00E72D79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физическая культура 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В структуре учебного плана выделяются </w:t>
      </w:r>
      <w:r w:rsidRPr="00E72D79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инвариантная и вариантная </w:t>
      </w:r>
      <w:proofErr w:type="spellStart"/>
      <w:r w:rsidRPr="00E72D79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>части.</w:t>
      </w: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Инвариантная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часть составлена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вна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основе учебного плана примерной общеобразовательной программы дошкольного образования «От рождения до школы» под редакцией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Н.Е.Вераксы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, Т.С.Комаровой, М.А.Васильевой.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Вариативная часть учебного плана обеспечивает реализацию образовательного блока ОБЖ и ЗОЖ в виде организованной образовательной деятельности, а также реализацию регионального компонента (на материале краеведения по Донскому краю) содержанием занятий и разнообразных форм организации детской деятельности: подвижные народные игры, слушание музыки, наблюдение в природе, чтение художественной литературы, знакомство с народно-прикладным искусством, знакомство с культурой родного города.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Образовательные блоки реализуются на основе программно-методического обеспечения: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ОБЖ: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Стеркина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Р.Б. «Основы безопасности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жезнедеятельности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детей дошкольного возраста», Т.И.Данилова «Программа по обучению детей дошкольного возраста ПДД Светофор», Региональная программа «Приключения Светофора».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ЗОЖ: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Т.Г.Карепова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«Формирование здорового образа жизни у дошкольников: планирование, система работы»,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М.Н.Сигмова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«Формирование представлений о себе у старших дошкольников»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b/>
          <w:color w:val="000000"/>
          <w:sz w:val="24"/>
          <w:szCs w:val="24"/>
          <w:lang w:eastAsia="en-US"/>
        </w:rPr>
        <w:t xml:space="preserve">Региональный компонент: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Р.М.Чумичева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Н.А.Платохина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О.Л.Ведмедь</w:t>
      </w:r>
      <w:proofErr w:type="spellEnd"/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 программа «Родники Дона», Н.Г.Пантелеева «Знакомим детей с малой родиной».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E72D79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>Таким образом, 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ДОУ.</w:t>
      </w:r>
    </w:p>
    <w:p w:rsidR="00E72D79" w:rsidRPr="00E72D79" w:rsidRDefault="00E72D79" w:rsidP="00E72D79">
      <w:pPr>
        <w:suppressAutoHyphens/>
        <w:spacing w:after="0" w:line="100" w:lineRule="atLeast"/>
        <w:rPr>
          <w:rFonts w:ascii="Calibri" w:eastAsia="DejaVu Sans" w:hAnsi="Calibri" w:cs="Calibri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rPr>
          <w:rFonts w:ascii="Calibri" w:eastAsia="DejaVu Sans" w:hAnsi="Calibri" w:cs="Calibri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en-US"/>
        </w:rPr>
      </w:pPr>
    </w:p>
    <w:p w:rsidR="00E72D79" w:rsidRDefault="00E72D79" w:rsidP="00E72D79">
      <w:pPr>
        <w:suppressAutoHyphens/>
        <w:spacing w:after="0" w:line="100" w:lineRule="atLeast"/>
        <w:jc w:val="right"/>
        <w:rPr>
          <w:rFonts w:ascii="Times New Roman" w:eastAsia="DejaVu Sans" w:hAnsi="Times New Roman" w:cs="Times New Roman"/>
          <w:lang w:eastAsia="en-US"/>
        </w:rPr>
      </w:pPr>
    </w:p>
    <w:p w:rsidR="00E72D79" w:rsidRDefault="00E72D79" w:rsidP="00E72D79">
      <w:pPr>
        <w:suppressAutoHyphens/>
        <w:spacing w:after="0" w:line="100" w:lineRule="atLeast"/>
        <w:jc w:val="right"/>
        <w:rPr>
          <w:rFonts w:ascii="Times New Roman" w:eastAsia="DejaVu Sans" w:hAnsi="Times New Roman" w:cs="Times New Roman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right"/>
        <w:rPr>
          <w:rFonts w:ascii="Times New Roman" w:eastAsia="DejaVu Sans" w:hAnsi="Times New Roman" w:cs="Times New Roman"/>
          <w:lang w:eastAsia="en-US"/>
        </w:rPr>
      </w:pPr>
      <w:r w:rsidRPr="00E72D79">
        <w:rPr>
          <w:rFonts w:ascii="Times New Roman" w:eastAsia="DejaVu Sans" w:hAnsi="Times New Roman" w:cs="Times New Roman"/>
          <w:lang w:eastAsia="en-US"/>
        </w:rPr>
        <w:lastRenderedPageBreak/>
        <w:t>Утверждаю</w:t>
      </w:r>
    </w:p>
    <w:p w:rsidR="00E72D79" w:rsidRPr="00E72D79" w:rsidRDefault="00E72D79" w:rsidP="00E72D79">
      <w:pPr>
        <w:suppressAutoHyphens/>
        <w:spacing w:after="0" w:line="100" w:lineRule="atLeast"/>
        <w:jc w:val="right"/>
        <w:rPr>
          <w:rFonts w:ascii="Times New Roman" w:eastAsia="DejaVu Sans" w:hAnsi="Times New Roman" w:cs="Times New Roman"/>
          <w:lang w:eastAsia="en-US"/>
        </w:rPr>
      </w:pPr>
      <w:r w:rsidRPr="00E72D79">
        <w:rPr>
          <w:rFonts w:ascii="Times New Roman" w:eastAsia="DejaVu Sans" w:hAnsi="Times New Roman" w:cs="Times New Roman"/>
          <w:lang w:eastAsia="en-US"/>
        </w:rPr>
        <w:t>Заведующий МБ ДОУ № 24</w:t>
      </w:r>
    </w:p>
    <w:p w:rsidR="00E72D79" w:rsidRPr="00E72D79" w:rsidRDefault="00E72D79" w:rsidP="00E72D79">
      <w:pPr>
        <w:suppressAutoHyphens/>
        <w:spacing w:after="0" w:line="100" w:lineRule="atLeast"/>
        <w:jc w:val="right"/>
        <w:rPr>
          <w:rFonts w:ascii="Times New Roman" w:eastAsia="DejaVu Sans" w:hAnsi="Times New Roman" w:cs="Times New Roman"/>
          <w:lang w:eastAsia="en-US"/>
        </w:rPr>
      </w:pPr>
      <w:proofErr w:type="spellStart"/>
      <w:r w:rsidRPr="00E72D79">
        <w:rPr>
          <w:rFonts w:ascii="Times New Roman" w:eastAsia="DejaVu Sans" w:hAnsi="Times New Roman" w:cs="Times New Roman"/>
          <w:lang w:eastAsia="en-US"/>
        </w:rPr>
        <w:t>___________Л.И.Бабичева</w:t>
      </w:r>
      <w:proofErr w:type="spellEnd"/>
    </w:p>
    <w:p w:rsidR="00E72D79" w:rsidRPr="00E72D79" w:rsidRDefault="00E72D79" w:rsidP="00E72D79">
      <w:pPr>
        <w:suppressAutoHyphens/>
        <w:spacing w:after="0" w:line="100" w:lineRule="atLeast"/>
        <w:jc w:val="right"/>
        <w:rPr>
          <w:rFonts w:ascii="Times New Roman" w:eastAsia="DejaVu Sans" w:hAnsi="Times New Roman" w:cs="Times New Roman"/>
          <w:lang w:eastAsia="en-US"/>
        </w:rPr>
      </w:pPr>
      <w:r w:rsidRPr="00E72D79">
        <w:rPr>
          <w:rFonts w:ascii="Times New Roman" w:eastAsia="DejaVu Sans" w:hAnsi="Times New Roman" w:cs="Times New Roman"/>
          <w:lang w:eastAsia="en-US"/>
        </w:rPr>
        <w:t>Приказ</w:t>
      </w:r>
      <w:r>
        <w:rPr>
          <w:rFonts w:ascii="Times New Roman" w:eastAsia="DejaVu Sans" w:hAnsi="Times New Roman" w:cs="Times New Roman"/>
          <w:lang w:eastAsia="en-US"/>
        </w:rPr>
        <w:t xml:space="preserve"> № 62  от 25.08.2017 </w:t>
      </w:r>
      <w:r w:rsidRPr="00E72D79">
        <w:rPr>
          <w:rFonts w:ascii="Times New Roman" w:eastAsia="DejaVu Sans" w:hAnsi="Times New Roman" w:cs="Times New Roman"/>
          <w:lang w:eastAsia="en-US"/>
        </w:rPr>
        <w:t>г.</w:t>
      </w: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>Учебный план МБ ДОУ № 24 на 2017-2018</w:t>
      </w:r>
      <w:r w:rsidRPr="00E72D79">
        <w:rPr>
          <w:rFonts w:ascii="Times New Roman" w:eastAsia="DejaVu Sans" w:hAnsi="Times New Roman" w:cs="Times New Roman"/>
          <w:b/>
          <w:sz w:val="24"/>
          <w:szCs w:val="24"/>
          <w:lang w:eastAsia="en-US"/>
        </w:rPr>
        <w:t xml:space="preserve"> учебный год.</w:t>
      </w:r>
    </w:p>
    <w:p w:rsidR="00E72D79" w:rsidRPr="00E72D79" w:rsidRDefault="00E72D79" w:rsidP="00E72D79">
      <w:pPr>
        <w:suppressAutoHyphens/>
        <w:spacing w:after="0" w:line="100" w:lineRule="atLeast"/>
        <w:jc w:val="right"/>
        <w:rPr>
          <w:rFonts w:ascii="Times New Roman" w:eastAsia="DejaVu Sans" w:hAnsi="Times New Roman" w:cs="Times New Roman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lang w:eastAsia="en-US"/>
        </w:rPr>
      </w:pPr>
    </w:p>
    <w:tbl>
      <w:tblPr>
        <w:tblW w:w="0" w:type="auto"/>
        <w:tblInd w:w="-1168" w:type="dxa"/>
        <w:tblLook w:val="0000"/>
      </w:tblPr>
      <w:tblGrid>
        <w:gridCol w:w="1653"/>
        <w:gridCol w:w="2810"/>
        <w:gridCol w:w="1311"/>
        <w:gridCol w:w="1311"/>
        <w:gridCol w:w="799"/>
        <w:gridCol w:w="839"/>
        <w:gridCol w:w="839"/>
        <w:gridCol w:w="216"/>
        <w:gridCol w:w="961"/>
      </w:tblGrid>
      <w:tr w:rsidR="00E72D79" w:rsidRPr="00E72D79" w:rsidTr="00D31ED7">
        <w:tc>
          <w:tcPr>
            <w:tcW w:w="1843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Образовательная  область</w:t>
            </w:r>
          </w:p>
        </w:tc>
        <w:tc>
          <w:tcPr>
            <w:tcW w:w="3156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Виды непосредственно образовательной деятельности</w:t>
            </w:r>
          </w:p>
        </w:tc>
        <w:tc>
          <w:tcPr>
            <w:tcW w:w="919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I </w:t>
            </w:r>
            <w:proofErr w:type="spellStart"/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младшая</w:t>
            </w:r>
            <w:proofErr w:type="spellEnd"/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919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II </w:t>
            </w:r>
            <w:proofErr w:type="spellStart"/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младшая</w:t>
            </w:r>
            <w:proofErr w:type="spellEnd"/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877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Средняя группа</w:t>
            </w:r>
          </w:p>
        </w:tc>
        <w:tc>
          <w:tcPr>
            <w:tcW w:w="923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Старшая группа</w:t>
            </w:r>
          </w:p>
        </w:tc>
        <w:tc>
          <w:tcPr>
            <w:tcW w:w="923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Старшая   группа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Подготовит.к</w:t>
            </w:r>
            <w:proofErr w:type="spellEnd"/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школе  группа</w:t>
            </w:r>
          </w:p>
        </w:tc>
      </w:tr>
      <w:tr w:rsidR="00E72D79" w:rsidRPr="00E72D79" w:rsidTr="00D31ED7">
        <w:tc>
          <w:tcPr>
            <w:tcW w:w="10739" w:type="dxa"/>
            <w:gridSpan w:val="9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D79" w:rsidRPr="00E72D79" w:rsidTr="00D31ED7">
        <w:tc>
          <w:tcPr>
            <w:tcW w:w="10739" w:type="dxa"/>
            <w:gridSpan w:val="9"/>
            <w:tcBorders>
              <w:bottom w:val="dashed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Познавательная , речевое, социально-коммуникативное развитие</w:t>
            </w:r>
          </w:p>
        </w:tc>
      </w:tr>
      <w:tr w:rsidR="00E72D79" w:rsidRPr="00E72D79" w:rsidTr="00D31ED7">
        <w:tc>
          <w:tcPr>
            <w:tcW w:w="1843" w:type="dxa"/>
            <w:vMerge w:val="restart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Познание</w:t>
            </w:r>
          </w:p>
        </w:tc>
        <w:tc>
          <w:tcPr>
            <w:tcW w:w="3156" w:type="dxa"/>
            <w:tcBorders>
              <w:bottom w:val="dashed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  элементарных математических представлений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  0,25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lang w:eastAsia="en-US"/>
              </w:rPr>
              <w:t>2</w:t>
            </w:r>
          </w:p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</w:p>
        </w:tc>
      </w:tr>
      <w:tr w:rsidR="00E72D79" w:rsidRPr="00E72D79" w:rsidTr="00D31ED7">
        <w:tc>
          <w:tcPr>
            <w:tcW w:w="1843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целостной картины мира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72D79" w:rsidRPr="00E72D79" w:rsidTr="00D31ED7">
        <w:tc>
          <w:tcPr>
            <w:tcW w:w="1843" w:type="dxa"/>
            <w:vMerge/>
            <w:tcBorders>
              <w:bottom w:val="single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tcBorders>
              <w:top w:val="dashed" w:sz="4" w:space="0" w:color="00000A"/>
              <w:bottom w:val="single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Познавательно-исследовательская продуктивная (конструктивная) деятельность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lang w:eastAsia="en-US"/>
              </w:rPr>
              <w:t>0,25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72D79" w:rsidRPr="00E72D79" w:rsidTr="00D31ED7">
        <w:tc>
          <w:tcPr>
            <w:tcW w:w="1843" w:type="dxa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Коммуникация</w:t>
            </w:r>
          </w:p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before="100"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lang w:eastAsia="en-US"/>
              </w:rPr>
              <w:t>Чтение художественной</w:t>
            </w:r>
          </w:p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lang w:eastAsia="en-US"/>
              </w:rPr>
              <w:t>литературы</w:t>
            </w:r>
          </w:p>
        </w:tc>
        <w:tc>
          <w:tcPr>
            <w:tcW w:w="3156" w:type="dxa"/>
            <w:tcBorders>
              <w:top w:val="single" w:sz="4" w:space="0" w:color="00000A"/>
              <w:bottom w:val="dashed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</w:tr>
      <w:tr w:rsidR="00E72D79" w:rsidRPr="00E72D79" w:rsidTr="00D31ED7">
        <w:tc>
          <w:tcPr>
            <w:tcW w:w="1843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Подготовка к обучению грамоте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</w:tr>
      <w:tr w:rsidR="00E72D79" w:rsidRPr="00E72D79" w:rsidTr="00D31ED7">
        <w:tc>
          <w:tcPr>
            <w:tcW w:w="1843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</w:t>
            </w:r>
            <w:proofErr w:type="spellStart"/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художественнойлитературы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72D79" w:rsidRPr="00E72D79" w:rsidTr="00D31ED7">
        <w:trPr>
          <w:trHeight w:val="583"/>
        </w:trPr>
        <w:tc>
          <w:tcPr>
            <w:tcW w:w="10739" w:type="dxa"/>
            <w:gridSpan w:val="9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                                               Физическое развитие</w:t>
            </w:r>
          </w:p>
        </w:tc>
      </w:tr>
      <w:tr w:rsidR="00E72D79" w:rsidRPr="00E72D79" w:rsidTr="00D31ED7">
        <w:tc>
          <w:tcPr>
            <w:tcW w:w="1843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культура, здоровье</w:t>
            </w:r>
          </w:p>
        </w:tc>
        <w:tc>
          <w:tcPr>
            <w:tcW w:w="3156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7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2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72D79" w:rsidRPr="00E72D79" w:rsidTr="00D31ED7">
        <w:tc>
          <w:tcPr>
            <w:tcW w:w="10739" w:type="dxa"/>
            <w:gridSpan w:val="9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</w:tr>
      <w:tr w:rsidR="00E72D79" w:rsidRPr="00E72D79" w:rsidTr="00D31ED7">
        <w:tc>
          <w:tcPr>
            <w:tcW w:w="1843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156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72D79" w:rsidRPr="00E72D79" w:rsidTr="00D31ED7">
        <w:tc>
          <w:tcPr>
            <w:tcW w:w="1843" w:type="dxa"/>
            <w:vMerge w:val="restart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Художественное творчество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72D79" w:rsidRPr="00E72D79" w:rsidTr="00D31ED7">
        <w:tc>
          <w:tcPr>
            <w:tcW w:w="1843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</w:tr>
      <w:tr w:rsidR="00E72D79" w:rsidRPr="00E72D79" w:rsidTr="00D31ED7">
        <w:tc>
          <w:tcPr>
            <w:tcW w:w="1843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87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0,5</w:t>
            </w:r>
          </w:p>
        </w:tc>
      </w:tr>
      <w:tr w:rsidR="00E72D79" w:rsidRPr="00E72D79" w:rsidTr="00D31ED7">
        <w:trPr>
          <w:trHeight w:val="418"/>
        </w:trPr>
        <w:tc>
          <w:tcPr>
            <w:tcW w:w="184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56" w:type="dxa"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10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10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10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13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13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14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D79" w:rsidRPr="00E72D79" w:rsidTr="00D31ED7">
        <w:trPr>
          <w:trHeight w:val="418"/>
        </w:trPr>
        <w:tc>
          <w:tcPr>
            <w:tcW w:w="184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Длительность НОД</w:t>
            </w:r>
          </w:p>
        </w:tc>
        <w:tc>
          <w:tcPr>
            <w:tcW w:w="3156" w:type="dxa"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10 мин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15 мин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20мин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25мин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25 мин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30 мин</w:t>
            </w:r>
          </w:p>
        </w:tc>
      </w:tr>
      <w:tr w:rsidR="00E72D79" w:rsidRPr="00E72D79" w:rsidTr="00D31ED7">
        <w:trPr>
          <w:trHeight w:val="880"/>
        </w:trPr>
        <w:tc>
          <w:tcPr>
            <w:tcW w:w="184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Общее время в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неделю (в часах)</w:t>
            </w:r>
          </w:p>
        </w:tc>
        <w:tc>
          <w:tcPr>
            <w:tcW w:w="3156" w:type="dxa"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1 ч 40 мин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2час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lang w:eastAsia="en-US"/>
              </w:rPr>
              <w:t>3 часа</w:t>
            </w:r>
          </w:p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lang w:eastAsia="en-US"/>
              </w:rPr>
              <w:t xml:space="preserve">20 </w:t>
            </w:r>
            <w:r w:rsidRPr="00E72D79">
              <w:rPr>
                <w:rFonts w:ascii="Times New Roman" w:eastAsia="DejaVu Sans" w:hAnsi="Times New Roman" w:cs="Times New Roman"/>
                <w:lang w:eastAsia="en-US"/>
              </w:rPr>
              <w:lastRenderedPageBreak/>
              <w:t>мин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lang w:eastAsia="en-US"/>
              </w:rPr>
              <w:lastRenderedPageBreak/>
              <w:t>5 часов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25 </w:t>
            </w:r>
            <w:r w:rsidRPr="00E72D7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мин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lang w:eastAsia="en-US"/>
              </w:rPr>
              <w:lastRenderedPageBreak/>
              <w:t>5 часов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t xml:space="preserve">25 </w:t>
            </w:r>
            <w:r w:rsidRPr="00E72D79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мин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lang w:eastAsia="en-US"/>
              </w:rPr>
              <w:lastRenderedPageBreak/>
              <w:t xml:space="preserve">7 часов 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D79" w:rsidRPr="00E72D79" w:rsidTr="00D31ED7">
        <w:trPr>
          <w:trHeight w:val="345"/>
        </w:trPr>
        <w:tc>
          <w:tcPr>
            <w:tcW w:w="10739" w:type="dxa"/>
            <w:gridSpan w:val="9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ind w:left="1276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i/>
                <w:color w:val="000000"/>
                <w:sz w:val="23"/>
                <w:szCs w:val="23"/>
                <w:lang w:eastAsia="en-US"/>
              </w:rPr>
              <w:t>Базовый вид деятельности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ind w:left="1276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i/>
                <w:color w:val="000000"/>
                <w:sz w:val="23"/>
                <w:szCs w:val="23"/>
                <w:lang w:eastAsia="en-US"/>
              </w:rPr>
              <w:t>Периодичность</w:t>
            </w:r>
          </w:p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 xml:space="preserve">               Утренняя гимнастика</w:t>
            </w: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tabs>
                <w:tab w:val="left" w:pos="1935"/>
              </w:tabs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128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 xml:space="preserve">            Гигиенические требования</w:t>
            </w: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128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128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ind w:left="1276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Дежурства</w:t>
            </w: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128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ind w:left="1276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Прогулки</w:t>
            </w: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128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</w:tr>
      <w:tr w:rsidR="00E72D79" w:rsidRPr="00E72D79" w:rsidTr="00D31ED7">
        <w:trPr>
          <w:trHeight w:val="295"/>
        </w:trPr>
        <w:tc>
          <w:tcPr>
            <w:tcW w:w="10739" w:type="dxa"/>
            <w:gridSpan w:val="9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/>
                <w:bCs/>
                <w:i/>
                <w:color w:val="000000"/>
                <w:sz w:val="23"/>
                <w:szCs w:val="23"/>
                <w:lang w:eastAsia="en-US"/>
              </w:rPr>
              <w:t>Самостоятельная деятельность детей</w:t>
            </w: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 xml:space="preserve">              Базовый вид деятельности</w:t>
            </w: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Периодичность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ind w:left="1276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Игра</w:t>
            </w: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Ежедневно</w:t>
            </w:r>
          </w:p>
        </w:tc>
        <w:tc>
          <w:tcPr>
            <w:tcW w:w="1128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</w:tr>
      <w:tr w:rsidR="00E72D79" w:rsidRPr="00E72D79" w:rsidTr="00D31ED7">
        <w:trPr>
          <w:trHeight w:val="435"/>
        </w:trPr>
        <w:tc>
          <w:tcPr>
            <w:tcW w:w="4999" w:type="dxa"/>
            <w:gridSpan w:val="2"/>
            <w:shd w:val="clear" w:color="auto" w:fill="auto"/>
          </w:tcPr>
          <w:p w:rsidR="00E72D79" w:rsidRPr="00E72D79" w:rsidRDefault="00E72D79" w:rsidP="00E72D79">
            <w:pPr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Самостоятельная деятельность детей в центрах развития</w:t>
            </w:r>
          </w:p>
        </w:tc>
        <w:tc>
          <w:tcPr>
            <w:tcW w:w="4612" w:type="dxa"/>
            <w:gridSpan w:val="6"/>
            <w:shd w:val="clear" w:color="auto" w:fill="auto"/>
          </w:tcPr>
          <w:p w:rsidR="00E72D79" w:rsidRPr="00E72D79" w:rsidRDefault="00E72D79" w:rsidP="00E72D79">
            <w:pPr>
              <w:suppressAutoHyphens/>
              <w:jc w:val="center"/>
              <w:rPr>
                <w:rFonts w:ascii="Calibri" w:eastAsia="DejaVu Sans" w:hAnsi="Calibri" w:cs="Calibri"/>
                <w:lang w:eastAsia="en-US"/>
              </w:rPr>
            </w:pPr>
            <w:r w:rsidRPr="00E72D79">
              <w:rPr>
                <w:rFonts w:ascii="Times New Roman" w:eastAsia="DejaVu Sans" w:hAnsi="Times New Roman" w:cs="Times New Roman"/>
                <w:bCs/>
                <w:color w:val="000000"/>
                <w:sz w:val="23"/>
                <w:szCs w:val="23"/>
                <w:lang w:eastAsia="en-US"/>
              </w:rPr>
              <w:t>Ежедневно</w:t>
            </w:r>
            <w:bookmarkStart w:id="0" w:name="_GoBack"/>
            <w:bookmarkEnd w:id="0"/>
          </w:p>
        </w:tc>
        <w:tc>
          <w:tcPr>
            <w:tcW w:w="1128" w:type="dxa"/>
            <w:vMerge/>
            <w:shd w:val="clear" w:color="auto" w:fill="auto"/>
          </w:tcPr>
          <w:p w:rsidR="00E72D79" w:rsidRPr="00E72D79" w:rsidRDefault="00E72D79" w:rsidP="00E72D79">
            <w:pPr>
              <w:suppressAutoHyphens/>
              <w:rPr>
                <w:rFonts w:ascii="Calibri" w:eastAsia="DejaVu Sans" w:hAnsi="Calibri" w:cs="Calibri"/>
                <w:lang w:eastAsia="en-US"/>
              </w:rPr>
            </w:pPr>
          </w:p>
        </w:tc>
      </w:tr>
    </w:tbl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</w:p>
    <w:p w:rsidR="00E72D79" w:rsidRPr="00E72D79" w:rsidRDefault="00E72D79" w:rsidP="00E72D79">
      <w:pPr>
        <w:suppressAutoHyphens/>
        <w:spacing w:after="0" w:line="100" w:lineRule="atLeast"/>
        <w:jc w:val="both"/>
        <w:rPr>
          <w:rFonts w:ascii="Calibri" w:eastAsia="DejaVu Sans" w:hAnsi="Calibri" w:cs="Calibri"/>
          <w:lang w:eastAsia="en-US"/>
        </w:rPr>
      </w:pPr>
    </w:p>
    <w:p w:rsidR="00FE3967" w:rsidRDefault="00FE3967"/>
    <w:sectPr w:rsidR="00FE3967" w:rsidSect="00223D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C52"/>
    <w:multiLevelType w:val="hybridMultilevel"/>
    <w:tmpl w:val="BD02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F2FB9"/>
    <w:multiLevelType w:val="multilevel"/>
    <w:tmpl w:val="20D60F0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865098"/>
    <w:multiLevelType w:val="multilevel"/>
    <w:tmpl w:val="3E443D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5C6A7A"/>
    <w:multiLevelType w:val="multilevel"/>
    <w:tmpl w:val="49AE075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8C071A"/>
    <w:multiLevelType w:val="multilevel"/>
    <w:tmpl w:val="212AAC9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6D5833"/>
    <w:multiLevelType w:val="multilevel"/>
    <w:tmpl w:val="D0F014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72D79"/>
    <w:rsid w:val="00E72D79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8050</Characters>
  <Application>Microsoft Office Word</Application>
  <DocSecurity>0</DocSecurity>
  <Lines>67</Lines>
  <Paragraphs>18</Paragraphs>
  <ScaleCrop>false</ScaleCrop>
  <Company>Grizli777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3</cp:revision>
  <dcterms:created xsi:type="dcterms:W3CDTF">2018-02-21T11:18:00Z</dcterms:created>
  <dcterms:modified xsi:type="dcterms:W3CDTF">2018-02-21T11:21:00Z</dcterms:modified>
</cp:coreProperties>
</file>